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Schiller | Content sheet</w:t>
      </w:r>
    </w:p>
    <w:p w:rsidR="00000000" w:rsidDel="00000000" w:rsidP="00000000" w:rsidRDefault="00000000" w:rsidRPr="00000000" w14:paraId="00000002">
      <w:pPr>
        <w:spacing w:line="360" w:lineRule="auto"/>
        <w:jc w:val="center"/>
        <w:rPr>
          <w:rFonts w:ascii="IBM Plex Sans" w:cs="IBM Plex Sans" w:eastAsia="IBM Plex Sans" w:hAnsi="IBM Plex Sans"/>
          <w:sz w:val="28"/>
          <w:szCs w:val="28"/>
        </w:rPr>
      </w:pPr>
      <w:r w:rsidDel="00000000" w:rsidR="00000000" w:rsidRPr="00000000">
        <w:rPr>
          <w:rFonts w:ascii="IBM Plex Sans" w:cs="IBM Plex Sans" w:eastAsia="IBM Plex Sans" w:hAnsi="IBM Plex Sans"/>
          <w:sz w:val="28"/>
          <w:szCs w:val="28"/>
          <w:rtl w:val="0"/>
        </w:rPr>
        <w:t xml:space="preserve">Scholarship - Terms &amp; conditions</w:t>
      </w:r>
    </w:p>
    <w:p w:rsidR="00000000" w:rsidDel="00000000" w:rsidP="00000000" w:rsidRDefault="00000000" w:rsidRPr="00000000" w14:paraId="00000003">
      <w:pPr>
        <w:spacing w:line="276" w:lineRule="auto"/>
        <w:rPr>
          <w:rFonts w:ascii="IBM Plex Sans" w:cs="IBM Plex Sans" w:eastAsia="IBM Plex Sans" w:hAnsi="IBM Plex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rPr>
          <w:rFonts w:ascii="IBM Plex Sans" w:cs="IBM Plex Sans" w:eastAsia="IBM Plex Sans" w:hAnsi="IBM Plex Sans"/>
          <w:sz w:val="20"/>
          <w:szCs w:val="20"/>
        </w:rPr>
      </w:pPr>
      <w:r w:rsidDel="00000000" w:rsidR="00000000" w:rsidRPr="00000000">
        <w:rPr>
          <w:rtl w:val="0"/>
        </w:rPr>
      </w:r>
    </w:p>
    <w:p w:rsidR="00000000" w:rsidDel="00000000" w:rsidP="00000000" w:rsidRDefault="00000000" w:rsidRPr="00000000" w14:paraId="00000005">
      <w:pPr>
        <w:spacing w:line="276" w:lineRule="auto"/>
        <w:rPr>
          <w:rFonts w:ascii="IBM Plex Sans" w:cs="IBM Plex Sans" w:eastAsia="IBM Plex Sans" w:hAnsi="IBM Plex Sans"/>
          <w:sz w:val="20"/>
          <w:szCs w:val="20"/>
        </w:rPr>
      </w:pPr>
      <w:r w:rsidDel="00000000" w:rsidR="00000000" w:rsidRPr="00000000">
        <w:rPr>
          <w:rFonts w:ascii="IBM Plex Sans" w:cs="IBM Plex Sans" w:eastAsia="IBM Plex Sans" w:hAnsi="IBM Plex Sans"/>
          <w:sz w:val="20"/>
          <w:szCs w:val="20"/>
          <w:rtl w:val="0"/>
        </w:rPr>
        <w:t xml:space="preserve">PDF link to Scholarship: </w:t>
      </w:r>
      <w:r w:rsidDel="00000000" w:rsidR="00000000" w:rsidRPr="00000000">
        <w:rPr>
          <w:rFonts w:ascii="IBM Plex Sans" w:cs="IBM Plex Sans" w:eastAsia="IBM Plex Sans" w:hAnsi="IBM Plex Sans"/>
          <w:b w:val="1"/>
          <w:sz w:val="20"/>
          <w:szCs w:val="20"/>
          <w:rtl w:val="0"/>
        </w:rPr>
        <w:t xml:space="preserve">Read about terms and conditions* </w:t>
      </w:r>
      <w:r w:rsidDel="00000000" w:rsidR="00000000" w:rsidRPr="00000000">
        <w:rPr>
          <w:rFonts w:ascii="IBM Plex Sans" w:cs="IBM Plex Sans" w:eastAsia="IBM Plex Sans" w:hAnsi="IBM Plex Sans"/>
          <w:sz w:val="20"/>
          <w:szCs w:val="20"/>
          <w:rtl w:val="0"/>
        </w:rPr>
        <w:br w:type="textWrapping"/>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7770"/>
        <w:tblGridChange w:id="0">
          <w:tblGrid>
            <w:gridCol w:w="1230"/>
            <w:gridCol w:w="7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IBM Plex Sans" w:cs="IBM Plex Sans" w:eastAsia="IBM Plex Sans" w:hAnsi="IBM Plex Sans"/>
                <w:sz w:val="20"/>
                <w:szCs w:val="20"/>
              </w:rPr>
            </w:pPr>
            <w:r w:rsidDel="00000000" w:rsidR="00000000" w:rsidRPr="00000000">
              <w:rPr>
                <w:rFonts w:ascii="IBM Plex Sans" w:cs="IBM Plex Sans" w:eastAsia="IBM Plex Sans" w:hAnsi="IBM Plex Sans"/>
                <w:sz w:val="20"/>
                <w:szCs w:val="20"/>
                <w:rtl w:val="0"/>
              </w:rPr>
              <w:t xml:space="preserve">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after="160" w:line="276" w:lineRule="auto"/>
              <w:rPr>
                <w:rFonts w:ascii="IBM Plex Sans" w:cs="IBM Plex Sans" w:eastAsia="IBM Plex Sans" w:hAnsi="IBM Plex Sans"/>
                <w:b w:val="1"/>
                <w:color w:val="333333"/>
                <w:sz w:val="20"/>
                <w:szCs w:val="20"/>
              </w:rPr>
            </w:pPr>
            <w:r w:rsidDel="00000000" w:rsidR="00000000" w:rsidRPr="00000000">
              <w:rPr>
                <w:rFonts w:ascii="IBM Plex Sans" w:cs="IBM Plex Sans" w:eastAsia="IBM Plex Sans" w:hAnsi="IBM Plex Sans"/>
                <w:b w:val="1"/>
                <w:color w:val="333333"/>
                <w:sz w:val="20"/>
                <w:szCs w:val="20"/>
                <w:rtl w:val="0"/>
              </w:rPr>
              <w:t xml:space="preserve">The below terms and conditions apply to all students and scholarships:</w:t>
            </w:r>
          </w:p>
          <w:p w:rsidR="00000000" w:rsidDel="00000000" w:rsidP="00000000" w:rsidRDefault="00000000" w:rsidRPr="00000000" w14:paraId="00000008">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The University reserves the right to change scholarship offerings without notice at any time.</w:t>
            </w:r>
          </w:p>
          <w:p w:rsidR="00000000" w:rsidDel="00000000" w:rsidP="00000000" w:rsidRDefault="00000000" w:rsidRPr="00000000" w14:paraId="00000009">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Essays must be written/typed in English with minimal spelling or grammatical errors and submitted with the application, unless otherwise noted.</w:t>
            </w:r>
          </w:p>
          <w:p w:rsidR="00000000" w:rsidDel="00000000" w:rsidP="00000000" w:rsidRDefault="00000000" w:rsidRPr="00000000" w14:paraId="0000000A">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All initial awards are approved for one (1) semester only, one (1) additional semester may be awarded upon review of continued eligibility requirements, with the exception of the US Citizen/Legal Resident Scholarship.</w:t>
            </w:r>
          </w:p>
          <w:p w:rsidR="00000000" w:rsidDel="00000000" w:rsidP="00000000" w:rsidRDefault="00000000" w:rsidRPr="00000000" w14:paraId="0000000B">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Once an initial awarded has ended, all students must re-apply by submitting a new application and essay.</w:t>
            </w:r>
          </w:p>
          <w:p w:rsidR="00000000" w:rsidDel="00000000" w:rsidP="00000000" w:rsidRDefault="00000000" w:rsidRPr="00000000" w14:paraId="0000000C">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Student must enroll and successfully complete a minimum of 12 credit hours for each semester in order to qualify for the full scholarship amount. If a student is unable to attend 12 hours in a semester due to transfer credits, course availability, expected graduation, or approved Leave of Absence the scholarship will be awarded on a prorated per credit basis. The student is responsible for all financial obligations to the school.</w:t>
            </w:r>
          </w:p>
          <w:p w:rsidR="00000000" w:rsidDel="00000000" w:rsidP="00000000" w:rsidRDefault="00000000" w:rsidRPr="00000000" w14:paraId="0000000D">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All Scholarships are posted to student ledgers at the end of the completion of each eligible semester.</w:t>
            </w:r>
          </w:p>
          <w:p w:rsidR="00000000" w:rsidDel="00000000" w:rsidP="00000000" w:rsidRDefault="00000000" w:rsidRPr="00000000" w14:paraId="0000000E">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Students who have dropped or were suspended during a semester will automatically lose all scholarship eligibility for the current and future semesters. Students must re-apply if they are returning.</w:t>
            </w:r>
          </w:p>
          <w:p w:rsidR="00000000" w:rsidDel="00000000" w:rsidP="00000000" w:rsidRDefault="00000000" w:rsidRPr="00000000" w14:paraId="0000000F">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Students must be in good financial standing with the institution to receive their award(s). Therefore, all expected payments to the University must be up to date by end of the semester pertaining to the award.</w:t>
            </w:r>
          </w:p>
          <w:p w:rsidR="00000000" w:rsidDel="00000000" w:rsidP="00000000" w:rsidRDefault="00000000" w:rsidRPr="00000000" w14:paraId="00000010">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Students who are in default on Title IV student loans are not eligible to receive any scholarships other than the Employer Reimbursement Matching Scholarship and US Citizen/Legal Resident Scholarship.</w:t>
            </w:r>
          </w:p>
          <w:p w:rsidR="00000000" w:rsidDel="00000000" w:rsidP="00000000" w:rsidRDefault="00000000" w:rsidRPr="00000000" w14:paraId="00000011">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Application Deadlines: Students must apply prior to the start date of their semester, excluding the Employer Reimbursement Matching Scholarship.</w:t>
            </w:r>
          </w:p>
          <w:p w:rsidR="00000000" w:rsidDel="00000000" w:rsidP="00000000" w:rsidRDefault="00000000" w:rsidRPr="00000000" w14:paraId="00000012">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Any student who applies after the start of their semester, is re-applying, or submits his/her original official transcripts after the semester has started will not be awarded the scholarship until their next semester start (Given it is approved by the Scholarship Committee). Cumulative GPA (CGPA) requirements will be based on the student’s CGPA earned at Schiller only.</w:t>
            </w:r>
          </w:p>
          <w:p w:rsidR="00000000" w:rsidDel="00000000" w:rsidP="00000000" w:rsidRDefault="00000000" w:rsidRPr="00000000" w14:paraId="00000013">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Scholarship applications will not be considered without initial Original Official Transcripts and the applicable essay.</w:t>
            </w:r>
          </w:p>
          <w:p w:rsidR="00000000" w:rsidDel="00000000" w:rsidP="00000000" w:rsidRDefault="00000000" w:rsidRPr="00000000" w14:paraId="00000014">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The definition of Successful Completion is “Passing an attempted course (earning credit) while maintaining at or above the required CGPA.” Semester awards will be prorated based on the percentage of earned credits versus attempted credits. (i.e. – Student is awarded $1,000 for a semester but only earns 9 of 12 credits attempted will be paid at 75% or $750.</w:t>
            </w:r>
          </w:p>
          <w:p w:rsidR="00000000" w:rsidDel="00000000" w:rsidP="00000000" w:rsidRDefault="00000000" w:rsidRPr="00000000" w14:paraId="00000015">
            <w:pPr>
              <w:numPr>
                <w:ilvl w:val="0"/>
                <w:numId w:val="1"/>
              </w:numPr>
              <w:shd w:fill="ffffff" w:val="clear"/>
              <w:spacing w:after="0" w:afterAutospacing="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It is the student’s responsibility to submit all required documentation by the determined deadlines.</w:t>
            </w:r>
          </w:p>
          <w:p w:rsidR="00000000" w:rsidDel="00000000" w:rsidP="00000000" w:rsidRDefault="00000000" w:rsidRPr="00000000" w14:paraId="00000016">
            <w:pPr>
              <w:numPr>
                <w:ilvl w:val="0"/>
                <w:numId w:val="1"/>
              </w:numPr>
              <w:shd w:fill="ffffff" w:val="clear"/>
              <w:spacing w:after="160" w:line="276" w:lineRule="auto"/>
              <w:ind w:left="720" w:hanging="360"/>
              <w:rPr>
                <w:rFonts w:ascii="IBM Plex Sans" w:cs="IBM Plex Sans" w:eastAsia="IBM Plex Sans" w:hAnsi="IBM Plex Sans"/>
                <w:sz w:val="20"/>
                <w:szCs w:val="20"/>
              </w:rPr>
            </w:pPr>
            <w:r w:rsidDel="00000000" w:rsidR="00000000" w:rsidRPr="00000000">
              <w:rPr>
                <w:rFonts w:ascii="IBM Plex Sans" w:cs="IBM Plex Sans" w:eastAsia="IBM Plex Sans" w:hAnsi="IBM Plex Sans"/>
                <w:color w:val="333333"/>
                <w:sz w:val="20"/>
                <w:szCs w:val="20"/>
                <w:rtl w:val="0"/>
              </w:rPr>
              <w:t xml:space="preserve">Scholarships are limited and may cease to be awarded at any time by the Institution.</w:t>
            </w:r>
          </w:p>
          <w:p w:rsidR="00000000" w:rsidDel="00000000" w:rsidP="00000000" w:rsidRDefault="00000000" w:rsidRPr="00000000" w14:paraId="00000017">
            <w:pPr>
              <w:spacing w:line="276" w:lineRule="auto"/>
              <w:rPr>
                <w:rFonts w:ascii="IBM Plex Sans" w:cs="IBM Plex Sans" w:eastAsia="IBM Plex Sans" w:hAnsi="IBM Plex Sans"/>
                <w:color w:val="3c4043"/>
                <w:sz w:val="20"/>
                <w:szCs w:val="20"/>
                <w:highlight w:val="white"/>
              </w:rPr>
            </w:pPr>
            <w:r w:rsidDel="00000000" w:rsidR="00000000" w:rsidRPr="00000000">
              <w:rPr>
                <w:rtl w:val="0"/>
              </w:rPr>
            </w:r>
          </w:p>
        </w:tc>
      </w:tr>
    </w:tbl>
    <w:p w:rsidR="00000000" w:rsidDel="00000000" w:rsidP="00000000" w:rsidRDefault="00000000" w:rsidRPr="00000000" w14:paraId="00000018">
      <w:pPr>
        <w:shd w:fill="ffffff" w:val="clear"/>
        <w:spacing w:after="200" w:before="200" w:line="276" w:lineRule="auto"/>
        <w:rPr>
          <w:rFonts w:ascii="IBM Plex Sans" w:cs="IBM Plex Sans" w:eastAsia="IBM Plex Sans" w:hAnsi="IBM Plex Sans"/>
          <w:color w:val="3c4043"/>
          <w:sz w:val="20"/>
          <w:szCs w:val="20"/>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Helvetica Neue" w:cs="Helvetica Neue" w:eastAsia="Helvetica Neue" w:hAnsi="Helvetica Neue"/>
        <w:color w:val="333333"/>
        <w:sz w:val="32"/>
        <w:szCs w:val="3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